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0DDD" w14:textId="77777777" w:rsidR="008C488F" w:rsidRPr="0010743C" w:rsidRDefault="008C488F" w:rsidP="008C488F">
      <w:pPr>
        <w:pStyle w:val="Rubrik1"/>
        <w:rPr>
          <w:color w:val="000000"/>
          <w:sz w:val="48"/>
        </w:rPr>
      </w:pPr>
      <w:r w:rsidRPr="000B0CF3">
        <w:rPr>
          <w:color w:val="000000"/>
          <w:sz w:val="48"/>
        </w:rPr>
        <w:t>Samhall AB</w:t>
      </w:r>
    </w:p>
    <w:p w14:paraId="65A9A98E" w14:textId="77777777" w:rsidR="008C488F" w:rsidRPr="000B0CF3" w:rsidRDefault="008C488F" w:rsidP="008C488F">
      <w:pPr>
        <w:rPr>
          <w:b/>
          <w:bCs/>
          <w:color w:val="000000"/>
          <w:sz w:val="28"/>
        </w:rPr>
      </w:pPr>
    </w:p>
    <w:p w14:paraId="38DA975C" w14:textId="77777777" w:rsidR="008C488F" w:rsidRPr="000B0CF3" w:rsidRDefault="008C488F" w:rsidP="008C488F">
      <w:pPr>
        <w:rPr>
          <w:b/>
          <w:bCs/>
          <w:color w:val="000000"/>
          <w:sz w:val="28"/>
        </w:rPr>
      </w:pPr>
      <w:r w:rsidRPr="000B0CF3">
        <w:rPr>
          <w:b/>
          <w:bCs/>
          <w:color w:val="000000"/>
          <w:sz w:val="28"/>
        </w:rPr>
        <w:t>Öppen redovisning enligt lag (2005:590) om insyn i vissa finansiella förbindelser mm</w:t>
      </w:r>
    </w:p>
    <w:p w14:paraId="34ED780B" w14:textId="77777777" w:rsidR="008C488F" w:rsidRPr="000B0CF3" w:rsidRDefault="008C488F" w:rsidP="008C488F">
      <w:pPr>
        <w:pBdr>
          <w:bottom w:val="single" w:sz="12" w:space="1" w:color="auto"/>
        </w:pBdr>
        <w:rPr>
          <w:b/>
          <w:bCs/>
          <w:color w:val="000000"/>
          <w:sz w:val="28"/>
        </w:rPr>
      </w:pPr>
      <w:r w:rsidRPr="000B0CF3">
        <w:rPr>
          <w:b/>
          <w:bCs/>
          <w:color w:val="000000"/>
          <w:sz w:val="28"/>
        </w:rPr>
        <w:t>Org. Nr 556448–1397</w:t>
      </w:r>
    </w:p>
    <w:p w14:paraId="15230CC0" w14:textId="77777777" w:rsidR="008C488F" w:rsidRPr="000B0CF3" w:rsidRDefault="008C488F" w:rsidP="008C488F">
      <w:pPr>
        <w:rPr>
          <w:color w:val="000000"/>
        </w:rPr>
      </w:pPr>
    </w:p>
    <w:p w14:paraId="7CACD18D" w14:textId="77777777" w:rsidR="008C488F" w:rsidRPr="000B0CF3" w:rsidRDefault="008C488F" w:rsidP="008C488F">
      <w:pPr>
        <w:rPr>
          <w:color w:val="000000"/>
        </w:rPr>
      </w:pPr>
    </w:p>
    <w:p w14:paraId="0CF00A15" w14:textId="77777777" w:rsidR="008C488F" w:rsidRPr="008C488F" w:rsidRDefault="008C488F" w:rsidP="008C488F">
      <w:pPr>
        <w:rPr>
          <w:color w:val="000000"/>
        </w:rPr>
      </w:pPr>
      <w:r w:rsidRPr="000B0CF3">
        <w:rPr>
          <w:color w:val="000000"/>
        </w:rPr>
        <w:t xml:space="preserve">Av 2 § 1 lagen (2005:590) om insyn i vissa finansiella förbindelser m.m. (transparensslagen) </w:t>
      </w:r>
      <w:r w:rsidRPr="008C488F">
        <w:rPr>
          <w:color w:val="000000"/>
        </w:rPr>
        <w:t>framgår att ett offentligt företag kännetecknas av följande:</w:t>
      </w:r>
    </w:p>
    <w:p w14:paraId="6FBF84D8" w14:textId="77777777" w:rsidR="008C488F" w:rsidRPr="008C488F" w:rsidRDefault="008C488F" w:rsidP="008C488F">
      <w:pPr>
        <w:rPr>
          <w:color w:val="000000"/>
        </w:rPr>
      </w:pPr>
    </w:p>
    <w:p w14:paraId="21583BAC" w14:textId="77777777" w:rsidR="008C488F" w:rsidRPr="008C488F" w:rsidRDefault="008C488F" w:rsidP="008C488F">
      <w:pPr>
        <w:rPr>
          <w:color w:val="000000"/>
        </w:rPr>
      </w:pPr>
      <w:r w:rsidRPr="008C488F">
        <w:rPr>
          <w:color w:val="000000"/>
        </w:rPr>
        <w:t>Ett företag som det allmänna direkt eller indirekt har ett dominerande inflytande över på grund av ägarskap, finansiell medverkan eller de regler som gäller för företaget. Om inte annat följer av omständigheterna skall ett dominerande inflytande anses finnas om det allmänna direkt eller indirekt innehar mer än hälften av rösterna eller kapitalet i företaget eller har rätt att utse mer än hälften av personerna i företagets administrativa eller verkställande ledning eller i dess styrelse.</w:t>
      </w:r>
    </w:p>
    <w:p w14:paraId="50F5E9DC" w14:textId="77777777" w:rsidR="008C488F" w:rsidRPr="008C488F" w:rsidRDefault="008C488F" w:rsidP="008C488F">
      <w:pPr>
        <w:rPr>
          <w:color w:val="000000"/>
        </w:rPr>
      </w:pPr>
    </w:p>
    <w:p w14:paraId="0519757E" w14:textId="77777777" w:rsidR="008C488F" w:rsidRPr="008C488F" w:rsidRDefault="008C488F" w:rsidP="008C488F">
      <w:pPr>
        <w:rPr>
          <w:color w:val="000000"/>
        </w:rPr>
      </w:pPr>
      <w:r w:rsidRPr="008C488F">
        <w:rPr>
          <w:color w:val="000000"/>
        </w:rPr>
        <w:t>Av 3 § transparenslagen framgår</w:t>
      </w:r>
    </w:p>
    <w:p w14:paraId="3CBD0AB6" w14:textId="77777777" w:rsidR="008C488F" w:rsidRPr="008C488F" w:rsidRDefault="008C488F" w:rsidP="008C488F">
      <w:pPr>
        <w:rPr>
          <w:color w:val="000000"/>
        </w:rPr>
      </w:pPr>
    </w:p>
    <w:p w14:paraId="3B50BAD7" w14:textId="77777777" w:rsidR="008C488F" w:rsidRPr="008C488F" w:rsidRDefault="008C488F" w:rsidP="008C488F">
      <w:pPr>
        <w:rPr>
          <w:color w:val="000000"/>
        </w:rPr>
      </w:pPr>
      <w:r w:rsidRPr="008C488F">
        <w:rPr>
          <w:color w:val="000000"/>
        </w:rPr>
        <w:t xml:space="preserve">- </w:t>
      </w:r>
      <w:r w:rsidRPr="008C488F">
        <w:rPr>
          <w:b/>
          <w:bCs/>
          <w:color w:val="000000"/>
        </w:rPr>
        <w:t>dels</w:t>
      </w:r>
      <w:r w:rsidRPr="008C488F">
        <w:rPr>
          <w:color w:val="000000"/>
        </w:rPr>
        <w:t xml:space="preserve"> att offentligt företag skall redovisa sina finansiella förbindelser med det allmänna så att det tydligt framgår vilka offentliga medel som företaget fått direkt eller indirekt, via andra offentliga företag eller finansiella institut, och hur medlen har använts (öppen redovisning)</w:t>
      </w:r>
    </w:p>
    <w:p w14:paraId="231C91F7" w14:textId="77777777" w:rsidR="008C488F" w:rsidRPr="008C488F" w:rsidRDefault="008C488F" w:rsidP="008C488F">
      <w:pPr>
        <w:rPr>
          <w:color w:val="000000"/>
        </w:rPr>
      </w:pPr>
    </w:p>
    <w:p w14:paraId="1A186BA0" w14:textId="77777777" w:rsidR="008C488F" w:rsidRPr="008C488F" w:rsidRDefault="008C488F" w:rsidP="008C488F">
      <w:pPr>
        <w:rPr>
          <w:color w:val="000000"/>
        </w:rPr>
      </w:pPr>
      <w:r w:rsidRPr="008C488F">
        <w:rPr>
          <w:color w:val="000000"/>
        </w:rPr>
        <w:t xml:space="preserve">- </w:t>
      </w:r>
      <w:r w:rsidRPr="008C488F">
        <w:rPr>
          <w:b/>
          <w:bCs/>
          <w:color w:val="000000"/>
        </w:rPr>
        <w:t>dels</w:t>
      </w:r>
      <w:r w:rsidRPr="008C488F">
        <w:rPr>
          <w:color w:val="000000"/>
        </w:rPr>
        <w:t xml:space="preserve"> att av den öppna redovisningen skall särskilt framgå finansiella förbindelser som avser kapitaltillskott, förlustbidrag, amorteringsfria eller på annat sätt förmånliga lån, gynnande genom avstående från vinst, fordran eller normal avkastning på offentliga medel, dels ersättningar för ekonomiska ålägganden från det allmänna.</w:t>
      </w:r>
    </w:p>
    <w:p w14:paraId="35E5AA20" w14:textId="77777777" w:rsidR="008C488F" w:rsidRPr="008C488F" w:rsidRDefault="008C488F" w:rsidP="008C488F">
      <w:pPr>
        <w:rPr>
          <w:color w:val="000000"/>
        </w:rPr>
      </w:pPr>
    </w:p>
    <w:p w14:paraId="46BC4EAA" w14:textId="4E16B48F" w:rsidR="008C488F" w:rsidRPr="008C488F" w:rsidRDefault="008C488F" w:rsidP="008C488F">
      <w:pPr>
        <w:rPr>
          <w:color w:val="212121"/>
        </w:rPr>
      </w:pPr>
      <w:r w:rsidRPr="008C488F">
        <w:rPr>
          <w:color w:val="000000"/>
        </w:rPr>
        <w:t>Nedan följer en redovisning avseende Samhalls erhållna medel från det allmänna för tiden den 1 januari – 31 december 202</w:t>
      </w:r>
      <w:r w:rsidR="00C044A9">
        <w:rPr>
          <w:color w:val="000000"/>
        </w:rPr>
        <w:t>5</w:t>
      </w:r>
      <w:r w:rsidRPr="008C488F">
        <w:rPr>
          <w:color w:val="000000"/>
        </w:rPr>
        <w:t>:</w:t>
      </w:r>
    </w:p>
    <w:p w14:paraId="41229CB6" w14:textId="77777777" w:rsidR="008C488F" w:rsidRPr="008C488F" w:rsidRDefault="008C488F" w:rsidP="008C488F">
      <w:pPr>
        <w:rPr>
          <w:color w:val="000000"/>
        </w:rPr>
      </w:pPr>
    </w:p>
    <w:p w14:paraId="67E2BA7F" w14:textId="77777777" w:rsidR="008C488F" w:rsidRPr="008C488F" w:rsidRDefault="008C488F" w:rsidP="008C488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1391"/>
        <w:gridCol w:w="2827"/>
      </w:tblGrid>
      <w:tr w:rsidR="008C488F" w:rsidRPr="003C0AC1" w14:paraId="1E447587" w14:textId="77777777">
        <w:tc>
          <w:tcPr>
            <w:tcW w:w="4928" w:type="dxa"/>
          </w:tcPr>
          <w:p w14:paraId="001985D0" w14:textId="77777777" w:rsidR="008C488F" w:rsidRPr="00964DB7" w:rsidRDefault="008C488F">
            <w:pPr>
              <w:rPr>
                <w:color w:val="000000"/>
              </w:rPr>
            </w:pPr>
            <w:r w:rsidRPr="00964DB7">
              <w:rPr>
                <w:color w:val="000000"/>
              </w:rPr>
              <w:t>Merkostnadsersättning från staten</w:t>
            </w:r>
          </w:p>
        </w:tc>
        <w:tc>
          <w:tcPr>
            <w:tcW w:w="1417" w:type="dxa"/>
          </w:tcPr>
          <w:p w14:paraId="6E2F30B6" w14:textId="475907EA" w:rsidR="008C488F" w:rsidRPr="003C0AC1" w:rsidRDefault="00964DB7">
            <w:pPr>
              <w:jc w:val="right"/>
              <w:rPr>
                <w:color w:val="000000"/>
                <w:highlight w:val="yellow"/>
              </w:rPr>
            </w:pPr>
            <w:r w:rsidRPr="00964DB7">
              <w:rPr>
                <w:color w:val="000000"/>
              </w:rPr>
              <w:t>7 5</w:t>
            </w:r>
            <w:r w:rsidR="00C044A9">
              <w:rPr>
                <w:color w:val="000000"/>
              </w:rPr>
              <w:t>85</w:t>
            </w:r>
            <w:r w:rsidR="008C488F" w:rsidRPr="00964DB7">
              <w:rPr>
                <w:color w:val="000000"/>
              </w:rPr>
              <w:t xml:space="preserve"> Mkr</w:t>
            </w:r>
          </w:p>
        </w:tc>
        <w:tc>
          <w:tcPr>
            <w:tcW w:w="2866" w:type="dxa"/>
            <w:vMerge w:val="restart"/>
          </w:tcPr>
          <w:p w14:paraId="236CA025" w14:textId="77777777" w:rsidR="008C488F" w:rsidRPr="003C0AC1" w:rsidRDefault="008C488F">
            <w:pPr>
              <w:rPr>
                <w:color w:val="000000"/>
                <w:highlight w:val="yellow"/>
              </w:rPr>
            </w:pPr>
          </w:p>
          <w:p w14:paraId="19486D75" w14:textId="77777777" w:rsidR="008C488F" w:rsidRPr="003C0AC1" w:rsidRDefault="008C488F">
            <w:pPr>
              <w:rPr>
                <w:color w:val="000000"/>
                <w:highlight w:val="yellow"/>
              </w:rPr>
            </w:pPr>
          </w:p>
          <w:p w14:paraId="0A9BD5F5" w14:textId="6C5EB05D" w:rsidR="008C488F" w:rsidRPr="008E38EA" w:rsidRDefault="008C488F">
            <w:pPr>
              <w:jc w:val="center"/>
              <w:rPr>
                <w:color w:val="000000"/>
              </w:rPr>
            </w:pPr>
            <w:r w:rsidRPr="008E38EA">
              <w:rPr>
                <w:color w:val="000000"/>
              </w:rPr>
              <w:t>Årsredovisning 202</w:t>
            </w:r>
            <w:r w:rsidR="00C044A9">
              <w:rPr>
                <w:color w:val="000000"/>
              </w:rPr>
              <w:t>5</w:t>
            </w:r>
            <w:r w:rsidRPr="008E38EA">
              <w:rPr>
                <w:color w:val="000000"/>
              </w:rPr>
              <w:t xml:space="preserve"> </w:t>
            </w:r>
          </w:p>
          <w:p w14:paraId="176BD12D" w14:textId="77777777" w:rsidR="008C488F" w:rsidRPr="003C0AC1" w:rsidRDefault="008C488F">
            <w:pPr>
              <w:jc w:val="center"/>
              <w:rPr>
                <w:color w:val="000000"/>
                <w:highlight w:val="yellow"/>
              </w:rPr>
            </w:pPr>
            <w:r w:rsidRPr="008E38EA">
              <w:rPr>
                <w:color w:val="000000"/>
              </w:rPr>
              <w:t>Not 4–5</w:t>
            </w:r>
          </w:p>
        </w:tc>
      </w:tr>
      <w:tr w:rsidR="008C488F" w:rsidRPr="003C0AC1" w14:paraId="4FC0C2DE" w14:textId="77777777">
        <w:tc>
          <w:tcPr>
            <w:tcW w:w="4928" w:type="dxa"/>
          </w:tcPr>
          <w:p w14:paraId="435D8F23" w14:textId="77777777" w:rsidR="008C488F" w:rsidRPr="003C0AC1" w:rsidRDefault="008C488F">
            <w:pPr>
              <w:rPr>
                <w:color w:val="000000"/>
                <w:highlight w:val="yellow"/>
              </w:rPr>
            </w:pPr>
            <w:r w:rsidRPr="00964DB7">
              <w:rPr>
                <w:color w:val="000000"/>
              </w:rPr>
              <w:t>Ersättning från Arbetsförmedlingen för arbetsmarknadstjänster inom Jobb- och utvecklingsgarantin</w:t>
            </w:r>
          </w:p>
        </w:tc>
        <w:tc>
          <w:tcPr>
            <w:tcW w:w="1417" w:type="dxa"/>
          </w:tcPr>
          <w:p w14:paraId="77491C69" w14:textId="77777777" w:rsidR="008C488F" w:rsidRPr="003C0AC1" w:rsidRDefault="008C488F">
            <w:pPr>
              <w:jc w:val="right"/>
              <w:rPr>
                <w:color w:val="000000"/>
                <w:highlight w:val="yellow"/>
              </w:rPr>
            </w:pPr>
          </w:p>
          <w:p w14:paraId="4AD3DB29" w14:textId="28B1CB33" w:rsidR="008C488F" w:rsidRPr="003C0AC1" w:rsidRDefault="00C044A9">
            <w:pPr>
              <w:jc w:val="right"/>
              <w:rPr>
                <w:color w:val="000000"/>
                <w:highlight w:val="yellow"/>
              </w:rPr>
            </w:pPr>
            <w:r>
              <w:rPr>
                <w:color w:val="000000"/>
              </w:rPr>
              <w:t>42</w:t>
            </w:r>
            <w:r w:rsidR="008C488F" w:rsidRPr="00964DB7">
              <w:rPr>
                <w:color w:val="000000"/>
              </w:rPr>
              <w:t xml:space="preserve"> Mkr</w:t>
            </w:r>
          </w:p>
        </w:tc>
        <w:tc>
          <w:tcPr>
            <w:tcW w:w="2866" w:type="dxa"/>
            <w:vMerge/>
          </w:tcPr>
          <w:p w14:paraId="3C8B86D7" w14:textId="77777777" w:rsidR="008C488F" w:rsidRPr="003C0AC1" w:rsidRDefault="008C488F">
            <w:pPr>
              <w:rPr>
                <w:color w:val="000000"/>
                <w:highlight w:val="yellow"/>
              </w:rPr>
            </w:pPr>
          </w:p>
        </w:tc>
      </w:tr>
      <w:tr w:rsidR="008C488F" w:rsidRPr="003C0AC1" w14:paraId="73AC30BB" w14:textId="77777777">
        <w:tc>
          <w:tcPr>
            <w:tcW w:w="4928" w:type="dxa"/>
          </w:tcPr>
          <w:p w14:paraId="3100938B" w14:textId="73897F4B" w:rsidR="008C488F" w:rsidRPr="0004590A" w:rsidRDefault="007C793E">
            <w:pPr>
              <w:rPr>
                <w:color w:val="000000"/>
              </w:rPr>
            </w:pPr>
            <w:r w:rsidRPr="0004590A">
              <w:rPr>
                <w:color w:val="000000"/>
              </w:rPr>
              <w:t xml:space="preserve">Omställning- och kompetensstöd </w:t>
            </w:r>
            <w:proofErr w:type="spellStart"/>
            <w:r w:rsidRPr="0004590A">
              <w:rPr>
                <w:color w:val="000000"/>
              </w:rPr>
              <w:t>avs</w:t>
            </w:r>
            <w:proofErr w:type="spellEnd"/>
            <w:r w:rsidRPr="0004590A">
              <w:rPr>
                <w:color w:val="000000"/>
              </w:rPr>
              <w:t xml:space="preserve"> 202</w:t>
            </w:r>
            <w:r w:rsidR="00C044A9">
              <w:rPr>
                <w:color w:val="000000"/>
              </w:rPr>
              <w:t>4 samt 2025</w:t>
            </w:r>
          </w:p>
        </w:tc>
        <w:tc>
          <w:tcPr>
            <w:tcW w:w="1417" w:type="dxa"/>
          </w:tcPr>
          <w:p w14:paraId="7E290D9D" w14:textId="050E6E85" w:rsidR="008C488F" w:rsidRPr="0004590A" w:rsidRDefault="00C044A9">
            <w:pPr>
              <w:jc w:val="right"/>
              <w:rPr>
                <w:color w:val="000000"/>
              </w:rPr>
            </w:pPr>
            <w:r>
              <w:rPr>
                <w:color w:val="000000"/>
              </w:rPr>
              <w:t>20</w:t>
            </w:r>
            <w:r w:rsidR="008C488F" w:rsidRPr="0004590A">
              <w:rPr>
                <w:color w:val="000000"/>
              </w:rPr>
              <w:t xml:space="preserve"> Mkr</w:t>
            </w:r>
          </w:p>
        </w:tc>
        <w:tc>
          <w:tcPr>
            <w:tcW w:w="2866" w:type="dxa"/>
            <w:vMerge/>
          </w:tcPr>
          <w:p w14:paraId="07FC433D" w14:textId="77777777" w:rsidR="008C488F" w:rsidRPr="003C0AC1" w:rsidRDefault="008C488F">
            <w:pPr>
              <w:rPr>
                <w:color w:val="000000"/>
                <w:highlight w:val="yellow"/>
              </w:rPr>
            </w:pPr>
          </w:p>
        </w:tc>
      </w:tr>
      <w:tr w:rsidR="008C488F" w:rsidRPr="008C488F" w14:paraId="5AAE58E2" w14:textId="77777777">
        <w:tc>
          <w:tcPr>
            <w:tcW w:w="4928" w:type="dxa"/>
          </w:tcPr>
          <w:p w14:paraId="2FD67144" w14:textId="77777777" w:rsidR="008C488F" w:rsidRPr="0004590A" w:rsidRDefault="008C488F">
            <w:pPr>
              <w:rPr>
                <w:color w:val="000000"/>
              </w:rPr>
            </w:pPr>
            <w:r w:rsidRPr="0004590A">
              <w:rPr>
                <w:color w:val="000000"/>
              </w:rPr>
              <w:t>EU-bidrag, transportbidrag m.m.</w:t>
            </w:r>
          </w:p>
        </w:tc>
        <w:tc>
          <w:tcPr>
            <w:tcW w:w="1417" w:type="dxa"/>
          </w:tcPr>
          <w:p w14:paraId="50C416F1" w14:textId="5EB34EAD" w:rsidR="008C488F" w:rsidRPr="0004590A" w:rsidRDefault="00361767">
            <w:pPr>
              <w:jc w:val="right"/>
              <w:rPr>
                <w:color w:val="000000"/>
              </w:rPr>
            </w:pPr>
            <w:r w:rsidRPr="0004590A">
              <w:rPr>
                <w:color w:val="000000"/>
              </w:rPr>
              <w:t>1</w:t>
            </w:r>
            <w:r w:rsidR="008C488F" w:rsidRPr="0004590A">
              <w:rPr>
                <w:color w:val="000000"/>
              </w:rPr>
              <w:t xml:space="preserve"> Mkr</w:t>
            </w:r>
          </w:p>
        </w:tc>
        <w:tc>
          <w:tcPr>
            <w:tcW w:w="2866" w:type="dxa"/>
            <w:vMerge/>
          </w:tcPr>
          <w:p w14:paraId="0DB10235" w14:textId="77777777" w:rsidR="008C488F" w:rsidRPr="008C488F" w:rsidRDefault="008C488F">
            <w:pPr>
              <w:rPr>
                <w:color w:val="000000"/>
              </w:rPr>
            </w:pPr>
          </w:p>
        </w:tc>
      </w:tr>
    </w:tbl>
    <w:p w14:paraId="6D94C7B1" w14:textId="77777777" w:rsidR="008C488F" w:rsidRPr="008C488F" w:rsidRDefault="008C488F" w:rsidP="008C488F">
      <w:pPr>
        <w:rPr>
          <w:color w:val="000000"/>
        </w:rPr>
      </w:pPr>
    </w:p>
    <w:p w14:paraId="7FBDB939" w14:textId="77777777" w:rsidR="008C488F" w:rsidRPr="008C488F" w:rsidRDefault="008C488F" w:rsidP="008C488F">
      <w:pPr>
        <w:autoSpaceDE w:val="0"/>
        <w:autoSpaceDN w:val="0"/>
        <w:adjustRightInd w:val="0"/>
        <w:rPr>
          <w:color w:val="000000"/>
        </w:rPr>
      </w:pPr>
      <w:r w:rsidRPr="008C488F">
        <w:rPr>
          <w:color w:val="000000"/>
        </w:rPr>
        <w:lastRenderedPageBreak/>
        <w:t>Den erhållna merkostnadsersättningen har utgjort ersättning för de specifika arbetsmarknadspolitiska uppdrag som Samhall har från staten. Övriga bidragsposter är fullt jämförbara med andra konkurrensutsatta företag som bedriver liknande verksamhet.</w:t>
      </w:r>
    </w:p>
    <w:p w14:paraId="2C77BD83" w14:textId="77777777" w:rsidR="008C488F" w:rsidRPr="000B0CF3" w:rsidRDefault="008C488F" w:rsidP="008C488F">
      <w:pPr>
        <w:rPr>
          <w:color w:val="000000"/>
        </w:rPr>
      </w:pPr>
      <w:r w:rsidRPr="000B0CF3">
        <w:rPr>
          <w:color w:val="000000"/>
        </w:rPr>
        <w:br/>
        <w:t xml:space="preserve">Några finansiella förbindelser med det allmänna som har avsett kapitaltillskott, förlustbidrag, amorteringsfria eller på annat sätt förmånliga lån, gynnade genom avstående från vinst, fordran eller normal avkastning på offentliga medel samt ersättningar för ekonomiska ålägganden från det allmänna har inte förekommit under perioden. </w:t>
      </w:r>
    </w:p>
    <w:p w14:paraId="08AE2389" w14:textId="77777777" w:rsidR="008C488F" w:rsidRPr="000B0CF3" w:rsidRDefault="008C488F" w:rsidP="008C488F">
      <w:pPr>
        <w:rPr>
          <w:color w:val="000000"/>
        </w:rPr>
      </w:pPr>
    </w:p>
    <w:p w14:paraId="1B95E330" w14:textId="77777777" w:rsidR="008C488F" w:rsidRPr="000B0CF3" w:rsidRDefault="008C488F" w:rsidP="008C488F">
      <w:pPr>
        <w:rPr>
          <w:color w:val="000000"/>
        </w:rPr>
      </w:pPr>
      <w:r w:rsidRPr="000B0CF3">
        <w:rPr>
          <w:color w:val="000000"/>
        </w:rPr>
        <w:t>Av bolagsordningen framgår att vinstmedlen skall balanseras i ny räkning för främjande av bolagets verksamhet. Staten har därmed inte framställt några utdelningskrav på bolaget.</w:t>
      </w:r>
    </w:p>
    <w:p w14:paraId="6039668D" w14:textId="77777777" w:rsidR="008C488F" w:rsidRPr="000B0CF3" w:rsidRDefault="008C488F" w:rsidP="008C488F">
      <w:pPr>
        <w:rPr>
          <w:color w:val="000000"/>
        </w:rPr>
      </w:pPr>
    </w:p>
    <w:p w14:paraId="15201F51" w14:textId="5A030C9F" w:rsidR="008C488F" w:rsidRPr="000B0CF3" w:rsidRDefault="008C488F" w:rsidP="008C488F">
      <w:pPr>
        <w:rPr>
          <w:color w:val="000000"/>
        </w:rPr>
      </w:pPr>
      <w:r w:rsidRPr="00967F98">
        <w:rPr>
          <w:color w:val="000000"/>
        </w:rPr>
        <w:t>Stockholm den 1</w:t>
      </w:r>
      <w:r w:rsidR="00C044A9">
        <w:rPr>
          <w:color w:val="000000"/>
        </w:rPr>
        <w:t>2</w:t>
      </w:r>
      <w:r w:rsidRPr="00967F98">
        <w:rPr>
          <w:color w:val="000000"/>
        </w:rPr>
        <w:t xml:space="preserve"> mars 202</w:t>
      </w:r>
      <w:r w:rsidR="00C044A9">
        <w:rPr>
          <w:color w:val="000000"/>
        </w:rPr>
        <w:t>6</w:t>
      </w:r>
    </w:p>
    <w:p w14:paraId="0C5E3614" w14:textId="77777777" w:rsidR="008C488F" w:rsidRPr="000B0CF3" w:rsidRDefault="008C488F" w:rsidP="008C488F">
      <w:pPr>
        <w:rPr>
          <w:color w:val="000000"/>
        </w:rPr>
      </w:pPr>
    </w:p>
    <w:p w14:paraId="154D53F7" w14:textId="77777777" w:rsidR="008C488F" w:rsidRPr="000B0CF3" w:rsidRDefault="008C488F" w:rsidP="008C488F">
      <w:pPr>
        <w:rPr>
          <w:color w:val="000000"/>
        </w:rPr>
      </w:pPr>
    </w:p>
    <w:p w14:paraId="529AF522" w14:textId="77777777" w:rsidR="008C488F" w:rsidRPr="000B0CF3" w:rsidRDefault="008C488F" w:rsidP="008C488F">
      <w:pPr>
        <w:rPr>
          <w:b/>
          <w:color w:val="000000"/>
        </w:rPr>
      </w:pPr>
      <w:r w:rsidRPr="000B0CF3">
        <w:rPr>
          <w:b/>
          <w:color w:val="000000"/>
        </w:rPr>
        <w:t xml:space="preserve">Styrelsen </w:t>
      </w:r>
    </w:p>
    <w:p w14:paraId="1DBB015B" w14:textId="77777777" w:rsidR="008C488F" w:rsidRPr="000B0CF3" w:rsidRDefault="008C488F" w:rsidP="008C488F">
      <w:pPr>
        <w:rPr>
          <w:color w:val="000000"/>
        </w:rPr>
      </w:pPr>
    </w:p>
    <w:p w14:paraId="2A2FB808" w14:textId="77777777" w:rsidR="008C488F" w:rsidRPr="000B0CF3" w:rsidRDefault="008C488F" w:rsidP="008C488F">
      <w:pPr>
        <w:rPr>
          <w:color w:val="000000"/>
        </w:rPr>
      </w:pPr>
    </w:p>
    <w:p w14:paraId="03B3D8B0" w14:textId="77777777" w:rsidR="008C488F" w:rsidRPr="000B0CF3" w:rsidRDefault="008C488F" w:rsidP="008C488F">
      <w:pPr>
        <w:rPr>
          <w:color w:val="000000"/>
        </w:rPr>
      </w:pPr>
      <w:r w:rsidRPr="000B0CF3">
        <w:rPr>
          <w:color w:val="000000"/>
        </w:rPr>
        <w:t>Bilagor:</w:t>
      </w:r>
    </w:p>
    <w:p w14:paraId="258C79E2" w14:textId="634D6070" w:rsidR="008C488F" w:rsidRPr="000B0CF3" w:rsidRDefault="008C488F" w:rsidP="008C488F">
      <w:pPr>
        <w:rPr>
          <w:color w:val="000000"/>
        </w:rPr>
      </w:pPr>
      <w:r w:rsidRPr="000B0CF3">
        <w:rPr>
          <w:color w:val="000000"/>
        </w:rPr>
        <w:t xml:space="preserve">Års- och hållbarhetsredovisning </w:t>
      </w:r>
      <w:r>
        <w:rPr>
          <w:color w:val="000000"/>
        </w:rPr>
        <w:t>202</w:t>
      </w:r>
      <w:r w:rsidR="00C044A9">
        <w:rPr>
          <w:color w:val="000000"/>
        </w:rPr>
        <w:t>5</w:t>
      </w:r>
    </w:p>
    <w:p w14:paraId="192C9172" w14:textId="5C38535E" w:rsidR="008C488F" w:rsidRPr="000B0CF3" w:rsidRDefault="008C488F" w:rsidP="008C488F">
      <w:pPr>
        <w:rPr>
          <w:color w:val="000000"/>
        </w:rPr>
      </w:pPr>
      <w:r w:rsidRPr="000B0CF3">
        <w:rPr>
          <w:color w:val="000000"/>
        </w:rPr>
        <w:t xml:space="preserve">Protokoll från styrelsemöte den </w:t>
      </w:r>
      <w:r>
        <w:rPr>
          <w:color w:val="000000"/>
        </w:rPr>
        <w:t>1</w:t>
      </w:r>
      <w:r w:rsidR="00C044A9">
        <w:rPr>
          <w:color w:val="000000"/>
        </w:rPr>
        <w:t>2</w:t>
      </w:r>
      <w:r w:rsidRPr="000B0CF3">
        <w:rPr>
          <w:color w:val="000000"/>
        </w:rPr>
        <w:t xml:space="preserve"> </w:t>
      </w:r>
      <w:r>
        <w:rPr>
          <w:color w:val="000000"/>
        </w:rPr>
        <w:t>mars</w:t>
      </w:r>
      <w:r w:rsidRPr="000B0CF3">
        <w:rPr>
          <w:color w:val="000000"/>
        </w:rPr>
        <w:t xml:space="preserve"> 202</w:t>
      </w:r>
      <w:r w:rsidR="00C044A9">
        <w:rPr>
          <w:color w:val="000000"/>
        </w:rPr>
        <w:t>6</w:t>
      </w:r>
    </w:p>
    <w:p w14:paraId="4DCA7460" w14:textId="6CE00A85" w:rsidR="00157439" w:rsidRPr="000B0CF3" w:rsidRDefault="00157439" w:rsidP="008C488F">
      <w:pPr>
        <w:pStyle w:val="Rubrik1"/>
        <w:rPr>
          <w:color w:val="000000"/>
        </w:rPr>
      </w:pPr>
    </w:p>
    <w:sectPr w:rsidR="00157439" w:rsidRPr="000B0CF3" w:rsidSect="000A41C9">
      <w:headerReference w:type="first" r:id="rId10"/>
      <w:pgSz w:w="11907" w:h="16840"/>
      <w:pgMar w:top="2268" w:right="1418" w:bottom="2155" w:left="1418" w:header="510" w:footer="36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5E0A" w14:textId="77777777" w:rsidR="00F9778E" w:rsidRDefault="00F9778E" w:rsidP="00422093">
      <w:pPr>
        <w:pStyle w:val="Sidhuvud"/>
      </w:pPr>
      <w:r>
        <w:separator/>
      </w:r>
    </w:p>
  </w:endnote>
  <w:endnote w:type="continuationSeparator" w:id="0">
    <w:p w14:paraId="6A074E7F" w14:textId="77777777" w:rsidR="00F9778E" w:rsidRDefault="00F9778E" w:rsidP="00422093">
      <w:pPr>
        <w:pStyle w:val="Sidhuvu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ms Rmn">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5CFB" w14:textId="77777777" w:rsidR="00F9778E" w:rsidRDefault="00F9778E" w:rsidP="00422093">
      <w:pPr>
        <w:pStyle w:val="Sidhuvud"/>
      </w:pPr>
      <w:r>
        <w:separator/>
      </w:r>
    </w:p>
  </w:footnote>
  <w:footnote w:type="continuationSeparator" w:id="0">
    <w:p w14:paraId="0FDA83EB" w14:textId="77777777" w:rsidR="00F9778E" w:rsidRDefault="00F9778E" w:rsidP="00422093">
      <w:pPr>
        <w:pStyle w:val="Sidhuvu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7AAF" w14:textId="77777777" w:rsidR="00B76D04" w:rsidRDefault="00B76D04">
    <w:pPr>
      <w:pStyle w:val="Sidhuvud"/>
      <w:jc w:val="right"/>
    </w:pPr>
  </w:p>
  <w:p w14:paraId="3B737539" w14:textId="77777777" w:rsidR="00B76D04" w:rsidRDefault="00B76D04">
    <w:pPr>
      <w:rPr>
        <w:rStyle w:val="Sidnummer"/>
        <w:b/>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961"/>
    <w:multiLevelType w:val="hybridMultilevel"/>
    <w:tmpl w:val="CE9CB140"/>
    <w:lvl w:ilvl="0" w:tplc="7DFA529E">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27CF4"/>
    <w:multiLevelType w:val="hybridMultilevel"/>
    <w:tmpl w:val="2E5E21B2"/>
    <w:lvl w:ilvl="0" w:tplc="734818A8">
      <w:start w:val="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661669"/>
    <w:multiLevelType w:val="hybridMultilevel"/>
    <w:tmpl w:val="CC460D3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BA0A3D"/>
    <w:multiLevelType w:val="hybridMultilevel"/>
    <w:tmpl w:val="CF547662"/>
    <w:lvl w:ilvl="0" w:tplc="7DFA529E">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D1019"/>
    <w:multiLevelType w:val="hybridMultilevel"/>
    <w:tmpl w:val="7136A638"/>
    <w:lvl w:ilvl="0" w:tplc="7DFA529E">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4DE2B57"/>
    <w:multiLevelType w:val="hybridMultilevel"/>
    <w:tmpl w:val="E2C2EB9A"/>
    <w:lvl w:ilvl="0" w:tplc="041D0005">
      <w:start w:val="1"/>
      <w:numFmt w:val="bullet"/>
      <w:lvlText w:val=""/>
      <w:lvlJc w:val="left"/>
      <w:pPr>
        <w:tabs>
          <w:tab w:val="num" w:pos="360"/>
        </w:tabs>
        <w:ind w:left="360" w:hanging="360"/>
      </w:pPr>
      <w:rPr>
        <w:rFonts w:ascii="Wingdings" w:hAnsi="Wingdings" w:hint="default"/>
      </w:rPr>
    </w:lvl>
    <w:lvl w:ilvl="1" w:tplc="30A6CFD8">
      <w:start w:val="1"/>
      <w:numFmt w:val="lowerLetter"/>
      <w:lvlText w:val="(%2)"/>
      <w:lvlJc w:val="left"/>
      <w:pPr>
        <w:tabs>
          <w:tab w:val="num" w:pos="1800"/>
        </w:tabs>
        <w:ind w:left="1800" w:hanging="72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B74C9C"/>
    <w:multiLevelType w:val="hybridMultilevel"/>
    <w:tmpl w:val="8DB00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B6D4EB3"/>
    <w:multiLevelType w:val="hybridMultilevel"/>
    <w:tmpl w:val="D0E0A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0817C1A"/>
    <w:multiLevelType w:val="hybridMultilevel"/>
    <w:tmpl w:val="35685138"/>
    <w:lvl w:ilvl="0" w:tplc="7DFA529E">
      <w:start w:val="2008"/>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9F09D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4989117">
    <w:abstractNumId w:val="5"/>
  </w:num>
  <w:num w:numId="2" w16cid:durableId="1572735078">
    <w:abstractNumId w:val="8"/>
  </w:num>
  <w:num w:numId="3" w16cid:durableId="1311397844">
    <w:abstractNumId w:val="3"/>
  </w:num>
  <w:num w:numId="4" w16cid:durableId="1555509888">
    <w:abstractNumId w:val="0"/>
  </w:num>
  <w:num w:numId="5" w16cid:durableId="96876923">
    <w:abstractNumId w:val="4"/>
  </w:num>
  <w:num w:numId="6" w16cid:durableId="1387146641">
    <w:abstractNumId w:val="2"/>
  </w:num>
  <w:num w:numId="7" w16cid:durableId="2102414472">
    <w:abstractNumId w:val="9"/>
  </w:num>
  <w:num w:numId="8" w16cid:durableId="1890802990">
    <w:abstractNumId w:val="6"/>
  </w:num>
  <w:num w:numId="9" w16cid:durableId="1326518645">
    <w:abstractNumId w:val="7"/>
  </w:num>
  <w:num w:numId="10" w16cid:durableId="87261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93"/>
    <w:rsid w:val="000007CE"/>
    <w:rsid w:val="0000759D"/>
    <w:rsid w:val="00011195"/>
    <w:rsid w:val="0004590A"/>
    <w:rsid w:val="00053F89"/>
    <w:rsid w:val="00056C3C"/>
    <w:rsid w:val="00066D91"/>
    <w:rsid w:val="00073112"/>
    <w:rsid w:val="000856B6"/>
    <w:rsid w:val="000862B4"/>
    <w:rsid w:val="00086B7E"/>
    <w:rsid w:val="00094F86"/>
    <w:rsid w:val="0009665C"/>
    <w:rsid w:val="000974F0"/>
    <w:rsid w:val="000A41C9"/>
    <w:rsid w:val="000A6A87"/>
    <w:rsid w:val="000A7E7A"/>
    <w:rsid w:val="000B0CF3"/>
    <w:rsid w:val="000B1F84"/>
    <w:rsid w:val="000B2CA2"/>
    <w:rsid w:val="000B6281"/>
    <w:rsid w:val="000B6629"/>
    <w:rsid w:val="000C5FD4"/>
    <w:rsid w:val="000C6F74"/>
    <w:rsid w:val="000D1FB2"/>
    <w:rsid w:val="000D3053"/>
    <w:rsid w:val="000D30BE"/>
    <w:rsid w:val="000E22C4"/>
    <w:rsid w:val="000E45E3"/>
    <w:rsid w:val="00112BC8"/>
    <w:rsid w:val="001241E8"/>
    <w:rsid w:val="001424AA"/>
    <w:rsid w:val="00151E60"/>
    <w:rsid w:val="00155BC4"/>
    <w:rsid w:val="00157439"/>
    <w:rsid w:val="0016729A"/>
    <w:rsid w:val="00171652"/>
    <w:rsid w:val="00183F4F"/>
    <w:rsid w:val="001A108D"/>
    <w:rsid w:val="001D22ED"/>
    <w:rsid w:val="001D2B6B"/>
    <w:rsid w:val="001F565D"/>
    <w:rsid w:val="002231F9"/>
    <w:rsid w:val="00224C29"/>
    <w:rsid w:val="00231126"/>
    <w:rsid w:val="00237218"/>
    <w:rsid w:val="00240F6B"/>
    <w:rsid w:val="00242083"/>
    <w:rsid w:val="0024380F"/>
    <w:rsid w:val="00257154"/>
    <w:rsid w:val="00273929"/>
    <w:rsid w:val="00277B43"/>
    <w:rsid w:val="002A2D6F"/>
    <w:rsid w:val="002B38E3"/>
    <w:rsid w:val="002B7969"/>
    <w:rsid w:val="002C0818"/>
    <w:rsid w:val="002E0F9C"/>
    <w:rsid w:val="002E4E36"/>
    <w:rsid w:val="00310045"/>
    <w:rsid w:val="003167B0"/>
    <w:rsid w:val="00323BA4"/>
    <w:rsid w:val="00345DEA"/>
    <w:rsid w:val="00361767"/>
    <w:rsid w:val="00364CA1"/>
    <w:rsid w:val="003661D3"/>
    <w:rsid w:val="003747F0"/>
    <w:rsid w:val="003B1353"/>
    <w:rsid w:val="003B1AF4"/>
    <w:rsid w:val="003B49B9"/>
    <w:rsid w:val="003C0AC1"/>
    <w:rsid w:val="003D2014"/>
    <w:rsid w:val="003D3D32"/>
    <w:rsid w:val="003E46ED"/>
    <w:rsid w:val="003F19C2"/>
    <w:rsid w:val="0040120C"/>
    <w:rsid w:val="0040370C"/>
    <w:rsid w:val="00417304"/>
    <w:rsid w:val="00422093"/>
    <w:rsid w:val="004272AB"/>
    <w:rsid w:val="00430AD1"/>
    <w:rsid w:val="004342FA"/>
    <w:rsid w:val="00435DC5"/>
    <w:rsid w:val="00441182"/>
    <w:rsid w:val="00442CC4"/>
    <w:rsid w:val="00451EFB"/>
    <w:rsid w:val="00454F92"/>
    <w:rsid w:val="00461D99"/>
    <w:rsid w:val="0046579F"/>
    <w:rsid w:val="0046692D"/>
    <w:rsid w:val="00475357"/>
    <w:rsid w:val="00482340"/>
    <w:rsid w:val="00485818"/>
    <w:rsid w:val="00495D4A"/>
    <w:rsid w:val="004A7A79"/>
    <w:rsid w:val="004D067F"/>
    <w:rsid w:val="004F0950"/>
    <w:rsid w:val="00500561"/>
    <w:rsid w:val="005075B2"/>
    <w:rsid w:val="00507FBC"/>
    <w:rsid w:val="00522130"/>
    <w:rsid w:val="00536F73"/>
    <w:rsid w:val="00536FCD"/>
    <w:rsid w:val="005375CF"/>
    <w:rsid w:val="00553244"/>
    <w:rsid w:val="00554D6A"/>
    <w:rsid w:val="00556834"/>
    <w:rsid w:val="00557526"/>
    <w:rsid w:val="00560A68"/>
    <w:rsid w:val="00563002"/>
    <w:rsid w:val="00563692"/>
    <w:rsid w:val="00566ED6"/>
    <w:rsid w:val="00571C6F"/>
    <w:rsid w:val="00574A41"/>
    <w:rsid w:val="00574EAF"/>
    <w:rsid w:val="00577F03"/>
    <w:rsid w:val="00583627"/>
    <w:rsid w:val="005902CA"/>
    <w:rsid w:val="005B162E"/>
    <w:rsid w:val="005B6FBE"/>
    <w:rsid w:val="005C41DC"/>
    <w:rsid w:val="005E1EF8"/>
    <w:rsid w:val="005F7C3C"/>
    <w:rsid w:val="006165D2"/>
    <w:rsid w:val="0062472E"/>
    <w:rsid w:val="006266FA"/>
    <w:rsid w:val="006419D3"/>
    <w:rsid w:val="006433FC"/>
    <w:rsid w:val="00651FB1"/>
    <w:rsid w:val="00657B32"/>
    <w:rsid w:val="00657ECB"/>
    <w:rsid w:val="0066255A"/>
    <w:rsid w:val="0066257D"/>
    <w:rsid w:val="006721A0"/>
    <w:rsid w:val="00675DE2"/>
    <w:rsid w:val="006852DA"/>
    <w:rsid w:val="006A383D"/>
    <w:rsid w:val="006A7B9F"/>
    <w:rsid w:val="006A7BFD"/>
    <w:rsid w:val="006B385F"/>
    <w:rsid w:val="006C020A"/>
    <w:rsid w:val="006C5D7A"/>
    <w:rsid w:val="006D0F5E"/>
    <w:rsid w:val="006F246F"/>
    <w:rsid w:val="0072000B"/>
    <w:rsid w:val="00721629"/>
    <w:rsid w:val="007332E0"/>
    <w:rsid w:val="0075225A"/>
    <w:rsid w:val="00755B88"/>
    <w:rsid w:val="00766219"/>
    <w:rsid w:val="00767EAB"/>
    <w:rsid w:val="00783572"/>
    <w:rsid w:val="00784127"/>
    <w:rsid w:val="0079733F"/>
    <w:rsid w:val="007A51F5"/>
    <w:rsid w:val="007C22B0"/>
    <w:rsid w:val="007C4A66"/>
    <w:rsid w:val="007C5D6E"/>
    <w:rsid w:val="007C793E"/>
    <w:rsid w:val="007D7DE4"/>
    <w:rsid w:val="007E4F6F"/>
    <w:rsid w:val="007E7E17"/>
    <w:rsid w:val="007F2984"/>
    <w:rsid w:val="0080061E"/>
    <w:rsid w:val="00813505"/>
    <w:rsid w:val="00820F90"/>
    <w:rsid w:val="00823DD8"/>
    <w:rsid w:val="0082480B"/>
    <w:rsid w:val="00837617"/>
    <w:rsid w:val="008444FB"/>
    <w:rsid w:val="008454F7"/>
    <w:rsid w:val="00846E9A"/>
    <w:rsid w:val="0085212D"/>
    <w:rsid w:val="00853186"/>
    <w:rsid w:val="0085612F"/>
    <w:rsid w:val="008629F4"/>
    <w:rsid w:val="00872BEF"/>
    <w:rsid w:val="00877AFF"/>
    <w:rsid w:val="008851F3"/>
    <w:rsid w:val="00897790"/>
    <w:rsid w:val="008C1016"/>
    <w:rsid w:val="008C488F"/>
    <w:rsid w:val="008D5728"/>
    <w:rsid w:val="008E17CA"/>
    <w:rsid w:val="008E2F42"/>
    <w:rsid w:val="008E38EA"/>
    <w:rsid w:val="00906589"/>
    <w:rsid w:val="00922743"/>
    <w:rsid w:val="009452DD"/>
    <w:rsid w:val="009454FC"/>
    <w:rsid w:val="009519B6"/>
    <w:rsid w:val="009541ED"/>
    <w:rsid w:val="00957710"/>
    <w:rsid w:val="00961EC5"/>
    <w:rsid w:val="00964DB7"/>
    <w:rsid w:val="00967F98"/>
    <w:rsid w:val="00986DE3"/>
    <w:rsid w:val="0099333E"/>
    <w:rsid w:val="009958B9"/>
    <w:rsid w:val="009973FE"/>
    <w:rsid w:val="009A36AE"/>
    <w:rsid w:val="009A458C"/>
    <w:rsid w:val="009B0AB5"/>
    <w:rsid w:val="009C4278"/>
    <w:rsid w:val="009C73D8"/>
    <w:rsid w:val="009E0F4E"/>
    <w:rsid w:val="009E3627"/>
    <w:rsid w:val="009F4C4F"/>
    <w:rsid w:val="00A02147"/>
    <w:rsid w:val="00A037EB"/>
    <w:rsid w:val="00A1562E"/>
    <w:rsid w:val="00A34764"/>
    <w:rsid w:val="00A84115"/>
    <w:rsid w:val="00AA0135"/>
    <w:rsid w:val="00AA2496"/>
    <w:rsid w:val="00AB1F87"/>
    <w:rsid w:val="00AB2E50"/>
    <w:rsid w:val="00AB4E07"/>
    <w:rsid w:val="00AC3A58"/>
    <w:rsid w:val="00AE445E"/>
    <w:rsid w:val="00AF2E3A"/>
    <w:rsid w:val="00B016AC"/>
    <w:rsid w:val="00B05EB6"/>
    <w:rsid w:val="00B204F1"/>
    <w:rsid w:val="00B25BF1"/>
    <w:rsid w:val="00B44A16"/>
    <w:rsid w:val="00B51A1E"/>
    <w:rsid w:val="00B76D04"/>
    <w:rsid w:val="00BC1B7F"/>
    <w:rsid w:val="00BC3540"/>
    <w:rsid w:val="00BC5136"/>
    <w:rsid w:val="00BC6D87"/>
    <w:rsid w:val="00BD7438"/>
    <w:rsid w:val="00BE01B4"/>
    <w:rsid w:val="00BE37C0"/>
    <w:rsid w:val="00BF0E95"/>
    <w:rsid w:val="00BF1749"/>
    <w:rsid w:val="00BF31E2"/>
    <w:rsid w:val="00BF472D"/>
    <w:rsid w:val="00BF6671"/>
    <w:rsid w:val="00C044A9"/>
    <w:rsid w:val="00C115EB"/>
    <w:rsid w:val="00C147FB"/>
    <w:rsid w:val="00C16D6F"/>
    <w:rsid w:val="00C22318"/>
    <w:rsid w:val="00C355BA"/>
    <w:rsid w:val="00C367C1"/>
    <w:rsid w:val="00C4178A"/>
    <w:rsid w:val="00C53279"/>
    <w:rsid w:val="00C54BF8"/>
    <w:rsid w:val="00C556FB"/>
    <w:rsid w:val="00C63D4B"/>
    <w:rsid w:val="00C660B1"/>
    <w:rsid w:val="00C66174"/>
    <w:rsid w:val="00C67DA2"/>
    <w:rsid w:val="00C777E4"/>
    <w:rsid w:val="00C81C44"/>
    <w:rsid w:val="00C81EF8"/>
    <w:rsid w:val="00CA324A"/>
    <w:rsid w:val="00CA49DF"/>
    <w:rsid w:val="00CB378C"/>
    <w:rsid w:val="00CC07B5"/>
    <w:rsid w:val="00CC242A"/>
    <w:rsid w:val="00CC5EE6"/>
    <w:rsid w:val="00CE751E"/>
    <w:rsid w:val="00CF34CA"/>
    <w:rsid w:val="00D0685C"/>
    <w:rsid w:val="00D07DE7"/>
    <w:rsid w:val="00D137BB"/>
    <w:rsid w:val="00D217C0"/>
    <w:rsid w:val="00D5540F"/>
    <w:rsid w:val="00D6003A"/>
    <w:rsid w:val="00D62804"/>
    <w:rsid w:val="00D628B0"/>
    <w:rsid w:val="00D63CE3"/>
    <w:rsid w:val="00D63E6C"/>
    <w:rsid w:val="00D64474"/>
    <w:rsid w:val="00D64F1A"/>
    <w:rsid w:val="00D7044F"/>
    <w:rsid w:val="00D97A79"/>
    <w:rsid w:val="00DA02AA"/>
    <w:rsid w:val="00DA3C74"/>
    <w:rsid w:val="00DA5780"/>
    <w:rsid w:val="00DB4F92"/>
    <w:rsid w:val="00DB5B2F"/>
    <w:rsid w:val="00DC6C29"/>
    <w:rsid w:val="00DD2552"/>
    <w:rsid w:val="00DE0F24"/>
    <w:rsid w:val="00DE4C3D"/>
    <w:rsid w:val="00DF7BEA"/>
    <w:rsid w:val="00E15C74"/>
    <w:rsid w:val="00E2080C"/>
    <w:rsid w:val="00E2414F"/>
    <w:rsid w:val="00E26025"/>
    <w:rsid w:val="00E30466"/>
    <w:rsid w:val="00E37115"/>
    <w:rsid w:val="00E41C42"/>
    <w:rsid w:val="00E539BF"/>
    <w:rsid w:val="00E55DDF"/>
    <w:rsid w:val="00E56735"/>
    <w:rsid w:val="00E6493F"/>
    <w:rsid w:val="00E64E29"/>
    <w:rsid w:val="00E82E35"/>
    <w:rsid w:val="00E9704B"/>
    <w:rsid w:val="00EA2CB9"/>
    <w:rsid w:val="00EA64B2"/>
    <w:rsid w:val="00EB5A49"/>
    <w:rsid w:val="00EB7105"/>
    <w:rsid w:val="00EC1D23"/>
    <w:rsid w:val="00ED28EA"/>
    <w:rsid w:val="00ED51DB"/>
    <w:rsid w:val="00ED792E"/>
    <w:rsid w:val="00EE0233"/>
    <w:rsid w:val="00EF1DBD"/>
    <w:rsid w:val="00EF7D68"/>
    <w:rsid w:val="00F02B1C"/>
    <w:rsid w:val="00F036EC"/>
    <w:rsid w:val="00F043EC"/>
    <w:rsid w:val="00F077F3"/>
    <w:rsid w:val="00F62E79"/>
    <w:rsid w:val="00F65B87"/>
    <w:rsid w:val="00F71F3E"/>
    <w:rsid w:val="00F74093"/>
    <w:rsid w:val="00F744FA"/>
    <w:rsid w:val="00F80E73"/>
    <w:rsid w:val="00F827C2"/>
    <w:rsid w:val="00F91144"/>
    <w:rsid w:val="00F93F33"/>
    <w:rsid w:val="00F960F2"/>
    <w:rsid w:val="00F9778E"/>
    <w:rsid w:val="00FA31E5"/>
    <w:rsid w:val="00FB579D"/>
    <w:rsid w:val="00FC663B"/>
    <w:rsid w:val="00FD1A78"/>
    <w:rsid w:val="00FE6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15FDD"/>
  <w15:chartTrackingRefBased/>
  <w15:docId w15:val="{AF04924C-59DB-4F31-8D2E-01FD9A5E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51E"/>
    <w:rPr>
      <w:rFonts w:ascii="Times New Roman" w:hAnsi="Times New Roman"/>
      <w:sz w:val="24"/>
      <w:szCs w:val="24"/>
    </w:rPr>
  </w:style>
  <w:style w:type="paragraph" w:styleId="Rubrik1">
    <w:name w:val="heading 1"/>
    <w:basedOn w:val="Normal"/>
    <w:next w:val="Normal"/>
    <w:link w:val="Rubrik1Char"/>
    <w:qFormat/>
    <w:pPr>
      <w:keepNext/>
      <w:spacing w:before="240" w:after="60"/>
      <w:outlineLvl w:val="0"/>
    </w:pPr>
    <w:rPr>
      <w:rFonts w:cs="Arial"/>
      <w:b/>
      <w:bCs/>
      <w:kern w:val="32"/>
      <w:szCs w:val="32"/>
    </w:rPr>
  </w:style>
  <w:style w:type="paragraph" w:styleId="Rubrik2">
    <w:name w:val="heading 2"/>
    <w:basedOn w:val="Normal"/>
    <w:next w:val="Normal"/>
    <w:qFormat/>
    <w:pPr>
      <w:keepNext/>
      <w:outlineLvl w:val="1"/>
    </w:pPr>
    <w:rPr>
      <w:rFonts w:cs="Arial"/>
      <w:bCs/>
      <w:i/>
      <w:iCs/>
      <w:szCs w:val="28"/>
    </w:rPr>
  </w:style>
  <w:style w:type="paragraph" w:styleId="Rubrik3">
    <w:name w:val="heading 3"/>
    <w:basedOn w:val="Normal"/>
    <w:next w:val="Normal"/>
    <w:qFormat/>
    <w:pPr>
      <w:keepNext/>
      <w:outlineLvl w:val="2"/>
    </w:pPr>
    <w:rPr>
      <w:rFonts w:cs="Arial"/>
      <w:b/>
      <w:bCs/>
      <w:szCs w:val="26"/>
    </w:rPr>
  </w:style>
  <w:style w:type="paragraph" w:styleId="Rubrik4">
    <w:name w:val="heading 4"/>
    <w:basedOn w:val="Normal"/>
    <w:next w:val="Normal"/>
    <w:link w:val="Rubrik4Char"/>
    <w:uiPriority w:val="9"/>
    <w:qFormat/>
    <w:pPr>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3">
    <w:name w:val="toc 3"/>
    <w:basedOn w:val="Normal"/>
    <w:next w:val="Normal"/>
    <w:semiHidden/>
    <w:pPr>
      <w:tabs>
        <w:tab w:val="right" w:leader="dot" w:pos="7655"/>
      </w:tabs>
      <w:ind w:left="851" w:right="850"/>
    </w:pPr>
  </w:style>
  <w:style w:type="paragraph" w:styleId="Innehll2">
    <w:name w:val="toc 2"/>
    <w:basedOn w:val="Normal"/>
    <w:next w:val="Normal"/>
    <w:semiHidden/>
    <w:pPr>
      <w:tabs>
        <w:tab w:val="right" w:leader="dot" w:pos="7655"/>
      </w:tabs>
      <w:ind w:left="709" w:right="850"/>
    </w:pPr>
  </w:style>
  <w:style w:type="paragraph" w:styleId="Innehll1">
    <w:name w:val="toc 1"/>
    <w:basedOn w:val="Normal"/>
    <w:next w:val="Normal"/>
    <w:semiHidden/>
    <w:pPr>
      <w:tabs>
        <w:tab w:val="right" w:leader="dot" w:pos="7655"/>
      </w:tabs>
      <w:ind w:right="850"/>
    </w:pPr>
  </w:style>
  <w:style w:type="paragraph" w:styleId="Sidfot">
    <w:name w:val="footer"/>
    <w:basedOn w:val="Normal"/>
    <w:link w:val="SidfotChar"/>
    <w:uiPriority w:val="99"/>
    <w:pPr>
      <w:tabs>
        <w:tab w:val="center" w:pos="4536"/>
        <w:tab w:val="right" w:pos="9072"/>
      </w:tabs>
      <w:spacing w:line="180" w:lineRule="atLeast"/>
    </w:pPr>
    <w:rPr>
      <w:rFonts w:ascii="Arial" w:hAnsi="Arial"/>
      <w:sz w:val="14"/>
    </w:rPr>
  </w:style>
  <w:style w:type="paragraph" w:styleId="Sidhuvud">
    <w:name w:val="header"/>
    <w:basedOn w:val="Normal"/>
    <w:uiPriority w:val="99"/>
    <w:pPr>
      <w:tabs>
        <w:tab w:val="center" w:pos="4536"/>
        <w:tab w:val="right" w:pos="9072"/>
      </w:tabs>
    </w:pPr>
  </w:style>
  <w:style w:type="paragraph" w:styleId="Normaltindrag">
    <w:name w:val="Normal Indent"/>
    <w:basedOn w:val="Normal"/>
    <w:pPr>
      <w:ind w:left="1304"/>
    </w:pPr>
  </w:style>
  <w:style w:type="paragraph" w:customStyle="1" w:styleId="Adressruta">
    <w:name w:val="Adressruta"/>
    <w:basedOn w:val="Normal"/>
    <w:rPr>
      <w:rFonts w:ascii="Arial" w:hAnsi="Arial"/>
    </w:rPr>
  </w:style>
  <w:style w:type="paragraph" w:customStyle="1" w:styleId="Huvudrubrik">
    <w:name w:val="Huvudrubrik"/>
    <w:basedOn w:val="Normal"/>
    <w:rPr>
      <w:rFonts w:ascii="Arial" w:hAnsi="Arial"/>
      <w:b/>
      <w:spacing w:val="-8"/>
      <w:sz w:val="40"/>
      <w:szCs w:val="40"/>
    </w:rPr>
  </w:style>
  <w:style w:type="character" w:customStyle="1" w:styleId="SidhuvudChar">
    <w:name w:val="Sidhuvud Char"/>
    <w:uiPriority w:val="99"/>
    <w:rPr>
      <w:rFonts w:ascii="Arial" w:hAnsi="Arial"/>
      <w:szCs w:val="24"/>
      <w:lang w:val="sv-SE" w:eastAsia="sv-SE" w:bidi="ar-SA"/>
    </w:rPr>
  </w:style>
  <w:style w:type="character" w:styleId="Sidnummer">
    <w:name w:val="page number"/>
    <w:rPr>
      <w:rFonts w:ascii="Arial" w:hAnsi="Arial"/>
      <w:sz w:val="16"/>
    </w:rPr>
  </w:style>
  <w:style w:type="paragraph" w:customStyle="1" w:styleId="zDate">
    <w:name w:val="zDate"/>
    <w:basedOn w:val="Normal"/>
    <w:pPr>
      <w:spacing w:line="240" w:lineRule="atLeast"/>
    </w:pPr>
    <w:rPr>
      <w:rFonts w:ascii="Arial" w:hAnsi="Arial"/>
      <w:b/>
      <w:szCs w:val="20"/>
    </w:rPr>
  </w:style>
  <w:style w:type="paragraph" w:customStyle="1" w:styleId="zTypeOfDoc">
    <w:name w:val="zTypeOfDoc"/>
    <w:basedOn w:val="Normal"/>
    <w:rPr>
      <w:rFonts w:ascii="Arial" w:hAnsi="Arial"/>
      <w:b/>
      <w:spacing w:val="-8"/>
      <w:sz w:val="40"/>
      <w:szCs w:val="20"/>
    </w:rPr>
  </w:style>
  <w:style w:type="paragraph" w:customStyle="1" w:styleId="Ledtext">
    <w:name w:val="Ledtext"/>
    <w:basedOn w:val="Normal"/>
    <w:pPr>
      <w:spacing w:before="6" w:line="160" w:lineRule="atLeast"/>
    </w:pPr>
    <w:rPr>
      <w:sz w:val="14"/>
      <w:szCs w:val="20"/>
    </w:rPr>
  </w:style>
  <w:style w:type="paragraph" w:customStyle="1" w:styleId="Kryss">
    <w:name w:val="Kryss"/>
    <w:basedOn w:val="Normal"/>
    <w:pPr>
      <w:pBdr>
        <w:top w:val="single" w:sz="6" w:space="1" w:color="auto"/>
        <w:left w:val="single" w:sz="6" w:space="1" w:color="auto"/>
        <w:bottom w:val="single" w:sz="6" w:space="1" w:color="auto"/>
        <w:right w:val="single" w:sz="6" w:space="1" w:color="auto"/>
      </w:pBdr>
      <w:spacing w:before="6" w:line="160" w:lineRule="exact"/>
      <w:ind w:left="74" w:right="28"/>
      <w:jc w:val="center"/>
    </w:pPr>
    <w:rPr>
      <w:sz w:val="16"/>
      <w:szCs w:val="20"/>
    </w:rPr>
  </w:style>
  <w:style w:type="paragraph" w:styleId="Brdtext">
    <w:name w:val="Body Text"/>
    <w:basedOn w:val="Normal"/>
    <w:rPr>
      <w:rFonts w:cs="Arial"/>
      <w:b/>
      <w:sz w:val="28"/>
      <w:szCs w:val="28"/>
      <w:u w:val="single"/>
    </w:rPr>
  </w:style>
  <w:style w:type="paragraph" w:styleId="Brdtext2">
    <w:name w:val="Body Text 2"/>
    <w:basedOn w:val="Normal"/>
    <w:pPr>
      <w:spacing w:line="320" w:lineRule="exact"/>
    </w:pPr>
    <w:rPr>
      <w:sz w:val="22"/>
      <w:szCs w:val="22"/>
    </w:rPr>
  </w:style>
  <w:style w:type="character" w:customStyle="1" w:styleId="Rubrik1Char">
    <w:name w:val="Rubrik 1 Char"/>
    <w:link w:val="Rubrik1"/>
    <w:rsid w:val="009E0F4E"/>
    <w:rPr>
      <w:rFonts w:ascii="Arial" w:hAnsi="Arial" w:cs="Arial"/>
      <w:b/>
      <w:bCs/>
      <w:kern w:val="32"/>
      <w:sz w:val="24"/>
      <w:szCs w:val="32"/>
      <w:lang w:val="sv-SE" w:eastAsia="sv-SE" w:bidi="ar-SA"/>
    </w:rPr>
  </w:style>
  <w:style w:type="paragraph" w:styleId="Normalwebb">
    <w:name w:val="Normal (Web)"/>
    <w:basedOn w:val="Normal"/>
    <w:rsid w:val="00574EAF"/>
    <w:pPr>
      <w:spacing w:before="100" w:beforeAutospacing="1" w:after="100" w:afterAutospacing="1"/>
    </w:pPr>
  </w:style>
  <w:style w:type="character" w:customStyle="1" w:styleId="SidfotChar">
    <w:name w:val="Sidfot Char"/>
    <w:link w:val="Sidfot"/>
    <w:uiPriority w:val="99"/>
    <w:rsid w:val="0066257D"/>
    <w:rPr>
      <w:rFonts w:ascii="Arial" w:hAnsi="Arial"/>
      <w:sz w:val="14"/>
      <w:szCs w:val="24"/>
    </w:rPr>
  </w:style>
  <w:style w:type="paragraph" w:styleId="Liststycke">
    <w:name w:val="List Paragraph"/>
    <w:basedOn w:val="Normal"/>
    <w:uiPriority w:val="34"/>
    <w:qFormat/>
    <w:rsid w:val="00C16D6F"/>
    <w:pPr>
      <w:ind w:left="720"/>
      <w:contextualSpacing/>
    </w:pPr>
  </w:style>
  <w:style w:type="table" w:styleId="Tabellrutnt">
    <w:name w:val="Table Grid"/>
    <w:basedOn w:val="Normaltabell"/>
    <w:rsid w:val="000A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D217C0"/>
    <w:rPr>
      <w:rFonts w:ascii="Tahoma" w:hAnsi="Tahoma" w:cs="Tahoma"/>
      <w:sz w:val="16"/>
      <w:szCs w:val="16"/>
    </w:rPr>
  </w:style>
  <w:style w:type="character" w:customStyle="1" w:styleId="BallongtextChar">
    <w:name w:val="Ballongtext Char"/>
    <w:link w:val="Ballongtext"/>
    <w:rsid w:val="00D217C0"/>
    <w:rPr>
      <w:rFonts w:ascii="Tahoma" w:hAnsi="Tahoma" w:cs="Tahoma"/>
      <w:sz w:val="16"/>
      <w:szCs w:val="16"/>
    </w:rPr>
  </w:style>
  <w:style w:type="paragraph" w:customStyle="1" w:styleId="Default">
    <w:name w:val="Default"/>
    <w:rsid w:val="001A108D"/>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9C73D8"/>
  </w:style>
  <w:style w:type="character" w:styleId="Hyperlnk">
    <w:name w:val="Hyperlink"/>
    <w:uiPriority w:val="99"/>
    <w:unhideWhenUsed/>
    <w:rsid w:val="009C73D8"/>
    <w:rPr>
      <w:color w:val="0000FF"/>
      <w:u w:val="single"/>
    </w:rPr>
  </w:style>
  <w:style w:type="character" w:styleId="Kommentarsreferens">
    <w:name w:val="annotation reference"/>
    <w:rsid w:val="007C5D6E"/>
    <w:rPr>
      <w:sz w:val="16"/>
      <w:szCs w:val="16"/>
    </w:rPr>
  </w:style>
  <w:style w:type="paragraph" w:styleId="Kommentarer">
    <w:name w:val="annotation text"/>
    <w:basedOn w:val="Normal"/>
    <w:link w:val="KommentarerChar"/>
    <w:rsid w:val="007C5D6E"/>
    <w:rPr>
      <w:sz w:val="20"/>
      <w:szCs w:val="20"/>
    </w:rPr>
  </w:style>
  <w:style w:type="character" w:customStyle="1" w:styleId="KommentarerChar">
    <w:name w:val="Kommentarer Char"/>
    <w:link w:val="Kommentarer"/>
    <w:rsid w:val="007C5D6E"/>
    <w:rPr>
      <w:rFonts w:ascii="Times New Roman" w:hAnsi="Times New Roman"/>
    </w:rPr>
  </w:style>
  <w:style w:type="paragraph" w:styleId="Kommentarsmne">
    <w:name w:val="annotation subject"/>
    <w:basedOn w:val="Kommentarer"/>
    <w:next w:val="Kommentarer"/>
    <w:link w:val="KommentarsmneChar"/>
    <w:rsid w:val="007C5D6E"/>
    <w:rPr>
      <w:b/>
      <w:bCs/>
    </w:rPr>
  </w:style>
  <w:style w:type="character" w:customStyle="1" w:styleId="KommentarsmneChar">
    <w:name w:val="Kommentarsämne Char"/>
    <w:link w:val="Kommentarsmne"/>
    <w:rsid w:val="007C5D6E"/>
    <w:rPr>
      <w:rFonts w:ascii="Times New Roman" w:hAnsi="Times New Roman"/>
      <w:b/>
      <w:bCs/>
    </w:rPr>
  </w:style>
  <w:style w:type="paragraph" w:styleId="Revision">
    <w:name w:val="Revision"/>
    <w:hidden/>
    <w:uiPriority w:val="99"/>
    <w:semiHidden/>
    <w:rsid w:val="003F19C2"/>
    <w:rPr>
      <w:rFonts w:ascii="Times New Roman" w:hAnsi="Times New Roman"/>
      <w:sz w:val="24"/>
      <w:szCs w:val="24"/>
    </w:rPr>
  </w:style>
  <w:style w:type="character" w:customStyle="1" w:styleId="Rubrik4Char">
    <w:name w:val="Rubrik 4 Char"/>
    <w:link w:val="Rubrik4"/>
    <w:uiPriority w:val="9"/>
    <w:rsid w:val="00CE751E"/>
    <w:rPr>
      <w:rFonts w:ascii="Times New Roman" w:hAnsi="Times New Roman"/>
      <w:b/>
      <w:sz w:val="24"/>
      <w:szCs w:val="24"/>
    </w:rPr>
  </w:style>
  <w:style w:type="paragraph" w:styleId="Rubrik">
    <w:name w:val="Title"/>
    <w:basedOn w:val="Normal"/>
    <w:next w:val="Normal"/>
    <w:link w:val="RubrikChar"/>
    <w:qFormat/>
    <w:rsid w:val="000E45E3"/>
    <w:pPr>
      <w:spacing w:before="240" w:after="60"/>
      <w:jc w:val="center"/>
      <w:outlineLvl w:val="0"/>
    </w:pPr>
    <w:rPr>
      <w:rFonts w:ascii="Calibri Light" w:hAnsi="Calibri Light"/>
      <w:b/>
      <w:bCs/>
      <w:kern w:val="28"/>
      <w:sz w:val="32"/>
      <w:szCs w:val="32"/>
    </w:rPr>
  </w:style>
  <w:style w:type="character" w:customStyle="1" w:styleId="RubrikChar">
    <w:name w:val="Rubrik Char"/>
    <w:link w:val="Rubrik"/>
    <w:rsid w:val="000E45E3"/>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58792">
      <w:bodyDiv w:val="1"/>
      <w:marLeft w:val="0"/>
      <w:marRight w:val="0"/>
      <w:marTop w:val="0"/>
      <w:marBottom w:val="0"/>
      <w:divBdr>
        <w:top w:val="none" w:sz="0" w:space="0" w:color="auto"/>
        <w:left w:val="none" w:sz="0" w:space="0" w:color="auto"/>
        <w:bottom w:val="none" w:sz="0" w:space="0" w:color="auto"/>
        <w:right w:val="none" w:sz="0" w:space="0" w:color="auto"/>
      </w:divBdr>
    </w:div>
    <w:div w:id="419984101">
      <w:bodyDiv w:val="1"/>
      <w:marLeft w:val="0"/>
      <w:marRight w:val="0"/>
      <w:marTop w:val="0"/>
      <w:marBottom w:val="0"/>
      <w:divBdr>
        <w:top w:val="none" w:sz="0" w:space="0" w:color="auto"/>
        <w:left w:val="none" w:sz="0" w:space="0" w:color="auto"/>
        <w:bottom w:val="none" w:sz="0" w:space="0" w:color="auto"/>
        <w:right w:val="none" w:sz="0" w:space="0" w:color="auto"/>
      </w:divBdr>
    </w:div>
    <w:div w:id="457185051">
      <w:bodyDiv w:val="1"/>
      <w:marLeft w:val="0"/>
      <w:marRight w:val="0"/>
      <w:marTop w:val="0"/>
      <w:marBottom w:val="0"/>
      <w:divBdr>
        <w:top w:val="none" w:sz="0" w:space="0" w:color="auto"/>
        <w:left w:val="none" w:sz="0" w:space="0" w:color="auto"/>
        <w:bottom w:val="none" w:sz="0" w:space="0" w:color="auto"/>
        <w:right w:val="none" w:sz="0" w:space="0" w:color="auto"/>
      </w:divBdr>
    </w:div>
    <w:div w:id="516240555">
      <w:bodyDiv w:val="1"/>
      <w:marLeft w:val="0"/>
      <w:marRight w:val="0"/>
      <w:marTop w:val="0"/>
      <w:marBottom w:val="0"/>
      <w:divBdr>
        <w:top w:val="none" w:sz="0" w:space="0" w:color="auto"/>
        <w:left w:val="none" w:sz="0" w:space="0" w:color="auto"/>
        <w:bottom w:val="none" w:sz="0" w:space="0" w:color="auto"/>
        <w:right w:val="none" w:sz="0" w:space="0" w:color="auto"/>
      </w:divBdr>
    </w:div>
    <w:div w:id="884368063">
      <w:bodyDiv w:val="1"/>
      <w:marLeft w:val="0"/>
      <w:marRight w:val="0"/>
      <w:marTop w:val="0"/>
      <w:marBottom w:val="0"/>
      <w:divBdr>
        <w:top w:val="none" w:sz="0" w:space="0" w:color="auto"/>
        <w:left w:val="none" w:sz="0" w:space="0" w:color="auto"/>
        <w:bottom w:val="none" w:sz="0" w:space="0" w:color="auto"/>
        <w:right w:val="none" w:sz="0" w:space="0" w:color="auto"/>
      </w:divBdr>
    </w:div>
    <w:div w:id="912274791">
      <w:bodyDiv w:val="1"/>
      <w:marLeft w:val="0"/>
      <w:marRight w:val="0"/>
      <w:marTop w:val="0"/>
      <w:marBottom w:val="0"/>
      <w:divBdr>
        <w:top w:val="none" w:sz="0" w:space="0" w:color="auto"/>
        <w:left w:val="none" w:sz="0" w:space="0" w:color="auto"/>
        <w:bottom w:val="none" w:sz="0" w:space="0" w:color="auto"/>
        <w:right w:val="none" w:sz="0" w:space="0" w:color="auto"/>
      </w:divBdr>
    </w:div>
    <w:div w:id="1066993913">
      <w:bodyDiv w:val="1"/>
      <w:marLeft w:val="0"/>
      <w:marRight w:val="0"/>
      <w:marTop w:val="0"/>
      <w:marBottom w:val="0"/>
      <w:divBdr>
        <w:top w:val="none" w:sz="0" w:space="0" w:color="auto"/>
        <w:left w:val="none" w:sz="0" w:space="0" w:color="auto"/>
        <w:bottom w:val="none" w:sz="0" w:space="0" w:color="auto"/>
        <w:right w:val="none" w:sz="0" w:space="0" w:color="auto"/>
      </w:divBdr>
    </w:div>
    <w:div w:id="1143234762">
      <w:bodyDiv w:val="1"/>
      <w:marLeft w:val="0"/>
      <w:marRight w:val="0"/>
      <w:marTop w:val="0"/>
      <w:marBottom w:val="0"/>
      <w:divBdr>
        <w:top w:val="none" w:sz="0" w:space="0" w:color="auto"/>
        <w:left w:val="none" w:sz="0" w:space="0" w:color="auto"/>
        <w:bottom w:val="none" w:sz="0" w:space="0" w:color="auto"/>
        <w:right w:val="none" w:sz="0" w:space="0" w:color="auto"/>
      </w:divBdr>
    </w:div>
    <w:div w:id="1460996514">
      <w:bodyDiv w:val="1"/>
      <w:marLeft w:val="0"/>
      <w:marRight w:val="0"/>
      <w:marTop w:val="0"/>
      <w:marBottom w:val="0"/>
      <w:divBdr>
        <w:top w:val="none" w:sz="0" w:space="0" w:color="auto"/>
        <w:left w:val="none" w:sz="0" w:space="0" w:color="auto"/>
        <w:bottom w:val="none" w:sz="0" w:space="0" w:color="auto"/>
        <w:right w:val="none" w:sz="0" w:space="0" w:color="auto"/>
      </w:divBdr>
      <w:divsChild>
        <w:div w:id="253899311">
          <w:marLeft w:val="0"/>
          <w:marRight w:val="0"/>
          <w:marTop w:val="0"/>
          <w:marBottom w:val="0"/>
          <w:divBdr>
            <w:top w:val="none" w:sz="0" w:space="0" w:color="auto"/>
            <w:left w:val="none" w:sz="0" w:space="0" w:color="auto"/>
            <w:bottom w:val="none" w:sz="0" w:space="0" w:color="auto"/>
            <w:right w:val="none" w:sz="0" w:space="0" w:color="auto"/>
          </w:divBdr>
          <w:divsChild>
            <w:div w:id="26639736">
              <w:marLeft w:val="0"/>
              <w:marRight w:val="0"/>
              <w:marTop w:val="0"/>
              <w:marBottom w:val="0"/>
              <w:divBdr>
                <w:top w:val="none" w:sz="0" w:space="0" w:color="auto"/>
                <w:left w:val="none" w:sz="0" w:space="0" w:color="auto"/>
                <w:bottom w:val="none" w:sz="0" w:space="0" w:color="auto"/>
                <w:right w:val="none" w:sz="0" w:space="0" w:color="auto"/>
              </w:divBdr>
              <w:divsChild>
                <w:div w:id="1641838790">
                  <w:marLeft w:val="0"/>
                  <w:marRight w:val="0"/>
                  <w:marTop w:val="0"/>
                  <w:marBottom w:val="0"/>
                  <w:divBdr>
                    <w:top w:val="none" w:sz="0" w:space="0" w:color="auto"/>
                    <w:left w:val="none" w:sz="0" w:space="0" w:color="auto"/>
                    <w:bottom w:val="none" w:sz="0" w:space="0" w:color="auto"/>
                    <w:right w:val="none" w:sz="0" w:space="0" w:color="auto"/>
                  </w:divBdr>
                  <w:divsChild>
                    <w:div w:id="579481282">
                      <w:marLeft w:val="0"/>
                      <w:marRight w:val="0"/>
                      <w:marTop w:val="0"/>
                      <w:marBottom w:val="0"/>
                      <w:divBdr>
                        <w:top w:val="none" w:sz="0" w:space="0" w:color="auto"/>
                        <w:left w:val="none" w:sz="0" w:space="0" w:color="auto"/>
                        <w:bottom w:val="none" w:sz="0" w:space="0" w:color="auto"/>
                        <w:right w:val="none" w:sz="0" w:space="0" w:color="auto"/>
                      </w:divBdr>
                      <w:divsChild>
                        <w:div w:id="210471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26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4AD682CCB016438D3E495F8D89CD4C" ma:contentTypeVersion="6" ma:contentTypeDescription="Skapa ett nytt dokument." ma:contentTypeScope="" ma:versionID="4eeb5be09e069e4b7c93060901bb988a">
  <xsd:schema xmlns:xsd="http://www.w3.org/2001/XMLSchema" xmlns:xs="http://www.w3.org/2001/XMLSchema" xmlns:p="http://schemas.microsoft.com/office/2006/metadata/properties" xmlns:ns2="f6866a8d-e584-4d5d-a069-893c5bb7aaa2" xmlns:ns3="2aa8bbd8-74ac-49f0-8d79-a4dc1840c4ac" targetNamespace="http://schemas.microsoft.com/office/2006/metadata/properties" ma:root="true" ma:fieldsID="72babeb6c22aa48073c6e810dadddfbd" ns2:_="" ns3:_="">
    <xsd:import namespace="f6866a8d-e584-4d5d-a069-893c5bb7aaa2"/>
    <xsd:import namespace="2aa8bbd8-74ac-49f0-8d79-a4dc1840c4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66a8d-e584-4d5d-a069-893c5bb7aaa2"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a8bbd8-74ac-49f0-8d79-a4dc1840c4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305F9-0A7C-4280-8087-B08F4B5ED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66a8d-e584-4d5d-a069-893c5bb7aaa2"/>
    <ds:schemaRef ds:uri="2aa8bbd8-74ac-49f0-8d79-a4dc1840c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F38D5-E378-4B38-91D1-813A6914D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D5C933-7F99-44DF-A3FC-57EB46FFDEC7}">
  <ds:schemaRefs>
    <ds:schemaRef ds:uri="http://schemas.microsoft.com/sharepoint/v3/contenttype/forms"/>
  </ds:schemaRefs>
</ds:datastoreItem>
</file>

<file path=docMetadata/LabelInfo.xml><?xml version="1.0" encoding="utf-8"?>
<clbl:labelList xmlns:clbl="http://schemas.microsoft.com/office/2020/mipLabelMetadata">
  <clbl:label id="{ebc3e520-ef61-404c-9884-8037d87292c9}" enabled="0" method="" siteId="{ebc3e520-ef61-404c-9884-8037d87292c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2357</Characters>
  <Application>Microsoft Office Word</Application>
  <DocSecurity>0</DocSecurity>
  <Lines>58</Lines>
  <Paragraphs>20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Redovisning för år 2008 enligt lagen (2005:590) om insyn i vissa finansi-ella förbindelser m m (transparenslagen )</vt:lpstr>
      <vt:lpstr/>
    </vt:vector>
  </TitlesOfParts>
  <Company>IntraKey AB</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Redovisning för år 2008 enligt lagen (2005:590) om insyn i vissa finansi-ella förbindelser m m (transparenslagen )</dc:title>
  <dc:subject/>
  <dc:creator>Marie Jervelius</dc:creator>
  <cp:keywords/>
  <dc:description/>
  <cp:lastModifiedBy>Albin Falkmer</cp:lastModifiedBy>
  <cp:revision>4</cp:revision>
  <cp:lastPrinted>2026-03-05T17:51:00Z</cp:lastPrinted>
  <dcterms:created xsi:type="dcterms:W3CDTF">2026-03-05T17:51:00Z</dcterms:created>
  <dcterms:modified xsi:type="dcterms:W3CDTF">2026-03-19T10:14:00Z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y fmtid="{D5CDD505-2E9C-101B-9397-08002B2CF9AE}" pid="4" name="ContentTypeId">
    <vt:lpwstr>0x010100DF4AD682CCB016438D3E495F8D89CD4C</vt:lpwstr>
  </property>
</Properties>
</file>